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64E" w:rsidRPr="009C364E" w:rsidRDefault="009C364E" w:rsidP="009C364E">
      <w:pPr>
        <w:autoSpaceDE w:val="0"/>
        <w:autoSpaceDN w:val="0"/>
        <w:adjustRightInd w:val="0"/>
        <w:jc w:val="center"/>
        <w:rPr>
          <w:rFonts w:ascii="微軟正黑體" w:eastAsia="微軟正黑體" w:hAnsi="微軟正黑體"/>
          <w:b/>
          <w:sz w:val="36"/>
          <w:szCs w:val="36"/>
        </w:rPr>
      </w:pPr>
      <w:r w:rsidRPr="009C364E">
        <w:rPr>
          <w:rFonts w:ascii="微軟正黑體" w:eastAsia="微軟正黑體" w:hAnsi="微軟正黑體"/>
          <w:b/>
          <w:bCs/>
          <w:sz w:val="36"/>
          <w:szCs w:val="36"/>
        </w:rPr>
        <w:t>Fault reactivation and seismicity risk from CO</w:t>
      </w:r>
      <w:r w:rsidRPr="009C364E">
        <w:rPr>
          <w:rFonts w:ascii="微軟正黑體" w:eastAsia="微軟正黑體" w:hAnsi="微軟正黑體"/>
          <w:b/>
          <w:bCs/>
          <w:sz w:val="36"/>
          <w:szCs w:val="36"/>
          <w:vertAlign w:val="subscript"/>
        </w:rPr>
        <w:t>2</w:t>
      </w:r>
      <w:r w:rsidRPr="009C364E">
        <w:rPr>
          <w:rFonts w:ascii="微軟正黑體" w:eastAsia="微軟正黑體" w:hAnsi="微軟正黑體"/>
          <w:b/>
          <w:bCs/>
          <w:sz w:val="36"/>
          <w:szCs w:val="36"/>
        </w:rPr>
        <w:t xml:space="preserve"> sequestration in the Teapot Dome and northern Newark Basin</w:t>
      </w:r>
    </w:p>
    <w:p w:rsidR="002D4EC0" w:rsidRPr="009C364E" w:rsidRDefault="00F20644" w:rsidP="009C364E">
      <w:pPr>
        <w:autoSpaceDE w:val="0"/>
        <w:autoSpaceDN w:val="0"/>
        <w:adjustRightInd w:val="0"/>
        <w:jc w:val="center"/>
        <w:rPr>
          <w:rFonts w:ascii="微軟正黑體" w:eastAsia="微軟正黑體" w:hAnsi="微軟正黑體" w:hint="eastAsia"/>
          <w:b/>
          <w:szCs w:val="24"/>
        </w:rPr>
      </w:pPr>
      <w:r w:rsidRPr="005052F9">
        <w:rPr>
          <w:rFonts w:ascii="微軟正黑體" w:eastAsia="微軟正黑體" w:hAnsi="微軟正黑體"/>
          <w:b/>
          <w:szCs w:val="24"/>
        </w:rPr>
        <w:t>Presenter:</w:t>
      </w:r>
      <w:r w:rsidR="005052F9" w:rsidRPr="005052F9">
        <w:rPr>
          <w:rFonts w:ascii="Times New Roman" w:hAnsi="Times New Roman" w:cs="Times New Roman"/>
          <w:color w:val="000000"/>
          <w:szCs w:val="24"/>
        </w:rPr>
        <w:t xml:space="preserve"> </w:t>
      </w:r>
      <w:r w:rsidR="005052F9" w:rsidRPr="005052F9">
        <w:rPr>
          <w:rFonts w:ascii="微軟正黑體" w:eastAsia="微軟正黑體" w:hAnsi="微軟正黑體"/>
          <w:b/>
          <w:szCs w:val="24"/>
        </w:rPr>
        <w:t>Chia-yu Sung</w:t>
      </w:r>
      <w:r w:rsidRPr="005052F9">
        <w:rPr>
          <w:rFonts w:ascii="微軟正黑體" w:eastAsia="微軟正黑體" w:hAnsi="微軟正黑體"/>
          <w:b/>
          <w:szCs w:val="24"/>
        </w:rPr>
        <w:tab/>
      </w:r>
      <w:r w:rsidRPr="005052F9">
        <w:rPr>
          <w:rFonts w:ascii="微軟正黑體" w:eastAsia="微軟正黑體" w:hAnsi="微軟正黑體"/>
          <w:b/>
          <w:szCs w:val="24"/>
        </w:rPr>
        <w:tab/>
        <w:t>Adviser:</w:t>
      </w:r>
      <w:r w:rsidR="005052F9" w:rsidRPr="005052F9">
        <w:rPr>
          <w:rFonts w:ascii="微軟正黑體" w:eastAsia="微軟正黑體" w:hAnsi="微軟正黑體"/>
          <w:b/>
          <w:szCs w:val="24"/>
        </w:rPr>
        <w:t xml:space="preserve"> Jih-hao Hung</w:t>
      </w:r>
    </w:p>
    <w:p w:rsidR="00F20644" w:rsidRPr="009C364E" w:rsidRDefault="00F20644" w:rsidP="00F20644">
      <w:pPr>
        <w:jc w:val="center"/>
        <w:rPr>
          <w:rFonts w:ascii="微軟正黑體" w:eastAsia="微軟正黑體" w:hAnsi="微軟正黑體"/>
          <w:b/>
          <w:sz w:val="36"/>
          <w:szCs w:val="36"/>
        </w:rPr>
      </w:pPr>
      <w:r w:rsidRPr="009C364E">
        <w:rPr>
          <w:rFonts w:ascii="微軟正黑體" w:eastAsia="微軟正黑體" w:hAnsi="微軟正黑體"/>
          <w:b/>
          <w:sz w:val="36"/>
          <w:szCs w:val="36"/>
        </w:rPr>
        <w:t>Abstract</w:t>
      </w:r>
    </w:p>
    <w:p w:rsidR="002D4EC0" w:rsidRPr="009C364E" w:rsidRDefault="002D4EC0" w:rsidP="002D4EC0">
      <w:pPr>
        <w:jc w:val="both"/>
        <w:rPr>
          <w:rFonts w:ascii="微軟正黑體" w:eastAsia="微軟正黑體" w:hAnsi="微軟正黑體" w:hint="eastAsia"/>
          <w:b/>
          <w:sz w:val="26"/>
          <w:szCs w:val="26"/>
        </w:rPr>
      </w:pPr>
      <w:r w:rsidRPr="002D4EC0">
        <w:rPr>
          <w:rFonts w:ascii="AdvTT46dcae81" w:hAnsi="AdvTT46dcae81" w:cs="AdvTT46dcae81"/>
          <w:kern w:val="0"/>
          <w:sz w:val="26"/>
          <w:szCs w:val="26"/>
        </w:rPr>
        <w:t>The risk of inducing seismic activity by underground injection of carbon dioxide (CO</w:t>
      </w:r>
      <w:r w:rsidRPr="00F61D92">
        <w:rPr>
          <w:rFonts w:ascii="AdvTT46dcae81" w:hAnsi="AdvTT46dcae81" w:cs="AdvTT46dcae81"/>
          <w:kern w:val="0"/>
          <w:sz w:val="26"/>
          <w:szCs w:val="26"/>
          <w:vertAlign w:val="subscript"/>
        </w:rPr>
        <w:t>2</w:t>
      </w:r>
      <w:r w:rsidRPr="002D4EC0">
        <w:rPr>
          <w:rFonts w:ascii="AdvTT46dcae81" w:hAnsi="AdvTT46dcae81" w:cs="AdvTT46dcae81"/>
          <w:kern w:val="0"/>
          <w:sz w:val="26"/>
          <w:szCs w:val="26"/>
        </w:rPr>
        <w:t>) has recently emerged as one of the largest concerns for geologic carbon sequestration. The major seismic risk associated with CO</w:t>
      </w:r>
      <w:r w:rsidRPr="00F61D92">
        <w:rPr>
          <w:rFonts w:ascii="AdvTT46dcae81" w:hAnsi="AdvTT46dcae81" w:cs="AdvTT46dcae81"/>
          <w:kern w:val="0"/>
          <w:sz w:val="26"/>
          <w:szCs w:val="26"/>
          <w:vertAlign w:val="subscript"/>
        </w:rPr>
        <w:t>2</w:t>
      </w:r>
      <w:r w:rsidRPr="002D4EC0">
        <w:rPr>
          <w:rFonts w:ascii="AdvTT46dcae81" w:hAnsi="AdvTT46dcae81" w:cs="AdvTT46dcae81"/>
          <w:kern w:val="0"/>
          <w:sz w:val="26"/>
          <w:szCs w:val="26"/>
        </w:rPr>
        <w:t xml:space="preserve"> geologic storage comes from the possibility of reactivation of preexisting faults and fractures due to an increase in pore pressure in the vicinity of the injection zone. Pore pressure increase caused by an underground injection has the potential to activate critically stressed discontinuities by reducing their frictional resistance to slip. For geologic carbon storage, even small induced earthquakes that may not be felt or cause damage on the surface present a concern because they can threaten the seal integrity of the natural reservoir structures and may compromise CO</w:t>
      </w:r>
      <w:r w:rsidRPr="00F61D92">
        <w:rPr>
          <w:rFonts w:ascii="AdvTT46dcae81" w:hAnsi="AdvTT46dcae81" w:cs="AdvTT46dcae81"/>
          <w:kern w:val="0"/>
          <w:sz w:val="26"/>
          <w:szCs w:val="26"/>
          <w:vertAlign w:val="subscript"/>
        </w:rPr>
        <w:t>2</w:t>
      </w:r>
      <w:r w:rsidRPr="002D4EC0">
        <w:rPr>
          <w:rFonts w:ascii="AdvTT46dcae81" w:hAnsi="AdvTT46dcae81" w:cs="AdvTT46dcae81"/>
          <w:kern w:val="0"/>
          <w:sz w:val="26"/>
          <w:szCs w:val="26"/>
        </w:rPr>
        <w:t xml:space="preserve"> containment. Thus, determining the in situ stress field and the distribution of fractures and faults at CO</w:t>
      </w:r>
      <w:r w:rsidRPr="00F61D92">
        <w:rPr>
          <w:rFonts w:ascii="AdvTT46dcae81" w:hAnsi="AdvTT46dcae81" w:cs="AdvTT46dcae81"/>
          <w:kern w:val="0"/>
          <w:sz w:val="26"/>
          <w:szCs w:val="26"/>
          <w:vertAlign w:val="subscript"/>
        </w:rPr>
        <w:t>2</w:t>
      </w:r>
      <w:r w:rsidRPr="002D4EC0">
        <w:rPr>
          <w:rFonts w:ascii="AdvTT46dcae81" w:hAnsi="AdvTT46dcae81" w:cs="AdvTT46dcae81"/>
          <w:kern w:val="0"/>
          <w:sz w:val="26"/>
          <w:szCs w:val="26"/>
        </w:rPr>
        <w:t xml:space="preserve"> storage sites represent important steps for site screening and injection planning.</w:t>
      </w:r>
    </w:p>
    <w:p w:rsidR="009C364E" w:rsidRDefault="009C364E" w:rsidP="005052F9">
      <w:pPr>
        <w:jc w:val="center"/>
        <w:rPr>
          <w:rFonts w:ascii="微軟正黑體" w:eastAsia="微軟正黑體" w:hAnsi="微軟正黑體"/>
          <w:b/>
          <w:sz w:val="36"/>
          <w:szCs w:val="36"/>
        </w:rPr>
      </w:pPr>
    </w:p>
    <w:p w:rsidR="00F20644" w:rsidRPr="009C364E" w:rsidRDefault="005052F9" w:rsidP="005052F9">
      <w:pPr>
        <w:jc w:val="center"/>
        <w:rPr>
          <w:rFonts w:ascii="微軟正黑體" w:eastAsia="微軟正黑體" w:hAnsi="微軟正黑體"/>
          <w:b/>
          <w:sz w:val="36"/>
          <w:szCs w:val="36"/>
        </w:rPr>
      </w:pPr>
      <w:r w:rsidRPr="009C364E">
        <w:rPr>
          <w:rFonts w:ascii="微軟正黑體" w:eastAsia="微軟正黑體" w:hAnsi="微軟正黑體"/>
          <w:b/>
          <w:sz w:val="36"/>
          <w:szCs w:val="36"/>
        </w:rPr>
        <w:t>Reference</w:t>
      </w:r>
    </w:p>
    <w:p w:rsidR="005052F9" w:rsidRPr="009C364E" w:rsidRDefault="00E70F40" w:rsidP="00E70F40">
      <w:pPr>
        <w:autoSpaceDE w:val="0"/>
        <w:autoSpaceDN w:val="0"/>
        <w:adjustRightInd w:val="0"/>
        <w:ind w:left="400" w:hangingChars="200" w:hanging="400"/>
        <w:rPr>
          <w:rFonts w:ascii="微軟正黑體" w:eastAsia="微軟正黑體" w:hAnsi="微軟正黑體"/>
          <w:b/>
          <w:sz w:val="20"/>
          <w:szCs w:val="20"/>
        </w:rPr>
      </w:pPr>
      <w:r w:rsidRPr="009C364E">
        <w:rPr>
          <w:rFonts w:ascii="微軟正黑體" w:eastAsia="微軟正黑體" w:hAnsi="微軟正黑體"/>
          <w:b/>
          <w:sz w:val="20"/>
          <w:szCs w:val="20"/>
        </w:rPr>
        <w:t xml:space="preserve">Chiaramonte, L., M. D. Zoback, J. Friedmann, and V. Stamp (2008), Seal </w:t>
      </w:r>
      <w:r w:rsidR="00F61D92">
        <w:rPr>
          <w:rFonts w:ascii="微軟正黑體" w:eastAsia="微軟正黑體" w:hAnsi="微軟正黑體"/>
          <w:b/>
          <w:sz w:val="20"/>
          <w:szCs w:val="20"/>
        </w:rPr>
        <w:t>integrity and feasibility of CO</w:t>
      </w:r>
      <w:bookmarkStart w:id="0" w:name="_GoBack"/>
      <w:bookmarkEnd w:id="0"/>
      <w:r w:rsidRPr="00F61D92">
        <w:rPr>
          <w:rFonts w:ascii="微軟正黑體" w:eastAsia="微軟正黑體" w:hAnsi="微軟正黑體"/>
          <w:b/>
          <w:sz w:val="20"/>
          <w:szCs w:val="20"/>
          <w:vertAlign w:val="subscript"/>
        </w:rPr>
        <w:t xml:space="preserve">2 </w:t>
      </w:r>
      <w:r w:rsidRPr="009C364E">
        <w:rPr>
          <w:rFonts w:ascii="微軟正黑體" w:eastAsia="微軟正黑體" w:hAnsi="微軟正黑體"/>
          <w:b/>
          <w:sz w:val="20"/>
          <w:szCs w:val="20"/>
        </w:rPr>
        <w:t>sequestration in the Teapot Dome EOR</w:t>
      </w:r>
      <w:r w:rsidRPr="009C364E">
        <w:rPr>
          <w:rFonts w:ascii="微軟正黑體" w:eastAsia="微軟正黑體" w:hAnsi="微軟正黑體" w:hint="eastAsia"/>
          <w:b/>
          <w:sz w:val="20"/>
          <w:szCs w:val="20"/>
        </w:rPr>
        <w:t xml:space="preserve"> </w:t>
      </w:r>
      <w:r w:rsidRPr="009C364E">
        <w:rPr>
          <w:rFonts w:ascii="微軟正黑體" w:eastAsia="微軟正黑體" w:hAnsi="微軟正黑體"/>
          <w:b/>
          <w:sz w:val="20"/>
          <w:szCs w:val="20"/>
        </w:rPr>
        <w:t>pilot: Geomechanical site characterization, Environ. Geol., 54(8), 1667–1675.</w:t>
      </w:r>
    </w:p>
    <w:p w:rsidR="00AF2F0D" w:rsidRPr="009C364E" w:rsidRDefault="00E70F40" w:rsidP="009C364E">
      <w:pPr>
        <w:autoSpaceDE w:val="0"/>
        <w:autoSpaceDN w:val="0"/>
        <w:adjustRightInd w:val="0"/>
        <w:ind w:left="400" w:hangingChars="200" w:hanging="400"/>
        <w:rPr>
          <w:rFonts w:ascii="微軟正黑體" w:eastAsia="微軟正黑體" w:hAnsi="微軟正黑體"/>
          <w:b/>
          <w:sz w:val="20"/>
          <w:szCs w:val="20"/>
        </w:rPr>
      </w:pPr>
      <w:r w:rsidRPr="009C364E">
        <w:rPr>
          <w:rFonts w:ascii="微軟正黑體" w:eastAsia="微軟正黑體" w:hAnsi="微軟正黑體"/>
          <w:b/>
          <w:sz w:val="20"/>
          <w:szCs w:val="20"/>
        </w:rPr>
        <w:t>Zakharova, N. V., and D. S. Goldberg</w:t>
      </w:r>
      <w:r w:rsidRPr="009C364E">
        <w:rPr>
          <w:rFonts w:ascii="微軟正黑體" w:eastAsia="微軟正黑體" w:hAnsi="微軟正黑體" w:hint="eastAsia"/>
          <w:b/>
          <w:sz w:val="20"/>
          <w:szCs w:val="20"/>
        </w:rPr>
        <w:t xml:space="preserve"> </w:t>
      </w:r>
      <w:r w:rsidRPr="009C364E">
        <w:rPr>
          <w:rFonts w:ascii="微軟正黑體" w:eastAsia="微軟正黑體" w:hAnsi="微軟正黑體"/>
          <w:b/>
          <w:sz w:val="20"/>
          <w:szCs w:val="20"/>
        </w:rPr>
        <w:t>(2014), In situ stress analysis in the</w:t>
      </w:r>
      <w:r w:rsidRPr="009C364E">
        <w:rPr>
          <w:rFonts w:ascii="微軟正黑體" w:eastAsia="微軟正黑體" w:hAnsi="微軟正黑體" w:hint="eastAsia"/>
          <w:b/>
          <w:sz w:val="20"/>
          <w:szCs w:val="20"/>
        </w:rPr>
        <w:t xml:space="preserve"> </w:t>
      </w:r>
      <w:r w:rsidRPr="009C364E">
        <w:rPr>
          <w:rFonts w:ascii="微軟正黑體" w:eastAsia="微軟正黑體" w:hAnsi="微軟正黑體"/>
          <w:b/>
          <w:sz w:val="20"/>
          <w:szCs w:val="20"/>
        </w:rPr>
        <w:t>northern Newark Basin: Implications for</w:t>
      </w:r>
      <w:r w:rsidRPr="009C364E">
        <w:rPr>
          <w:rFonts w:ascii="微軟正黑體" w:eastAsia="微軟正黑體" w:hAnsi="微軟正黑體" w:hint="eastAsia"/>
          <w:b/>
          <w:sz w:val="20"/>
          <w:szCs w:val="20"/>
        </w:rPr>
        <w:t xml:space="preserve"> </w:t>
      </w:r>
      <w:r w:rsidRPr="009C364E">
        <w:rPr>
          <w:rFonts w:ascii="微軟正黑體" w:eastAsia="微軟正黑體" w:hAnsi="微軟正黑體"/>
          <w:b/>
          <w:sz w:val="20"/>
          <w:szCs w:val="20"/>
        </w:rPr>
        <w:t>induced seismicity from CO</w:t>
      </w:r>
      <w:r w:rsidRPr="00F61D92">
        <w:rPr>
          <w:rFonts w:ascii="微軟正黑體" w:eastAsia="微軟正黑體" w:hAnsi="微軟正黑體"/>
          <w:b/>
          <w:sz w:val="20"/>
          <w:szCs w:val="20"/>
          <w:vertAlign w:val="subscript"/>
        </w:rPr>
        <w:t>2</w:t>
      </w:r>
      <w:r w:rsidRPr="009C364E">
        <w:rPr>
          <w:rFonts w:ascii="微軟正黑體" w:eastAsia="微軟正黑體" w:hAnsi="微軟正黑體"/>
          <w:b/>
          <w:sz w:val="20"/>
          <w:szCs w:val="20"/>
        </w:rPr>
        <w:t xml:space="preserve"> injection,</w:t>
      </w:r>
      <w:r w:rsidR="009C364E" w:rsidRPr="009C364E">
        <w:rPr>
          <w:rFonts w:ascii="微軟正黑體" w:eastAsia="微軟正黑體" w:hAnsi="微軟正黑體" w:hint="eastAsia"/>
          <w:b/>
          <w:sz w:val="20"/>
          <w:szCs w:val="20"/>
        </w:rPr>
        <w:t xml:space="preserve"> </w:t>
      </w:r>
      <w:r w:rsidRPr="009C364E">
        <w:rPr>
          <w:rFonts w:ascii="微軟正黑體" w:eastAsia="微軟正黑體" w:hAnsi="微軟正黑體"/>
          <w:b/>
          <w:sz w:val="20"/>
          <w:szCs w:val="20"/>
        </w:rPr>
        <w:t>J. Geophys. Res. Solid Earth, 119,</w:t>
      </w:r>
      <w:r w:rsidRPr="009C364E">
        <w:rPr>
          <w:rFonts w:ascii="微軟正黑體" w:eastAsia="微軟正黑體" w:hAnsi="微軟正黑體" w:hint="eastAsia"/>
          <w:b/>
          <w:sz w:val="20"/>
          <w:szCs w:val="20"/>
        </w:rPr>
        <w:t xml:space="preserve"> </w:t>
      </w:r>
      <w:r w:rsidRPr="009C364E">
        <w:rPr>
          <w:rFonts w:ascii="微軟正黑體" w:eastAsia="微軟正黑體" w:hAnsi="微軟正黑體"/>
          <w:b/>
          <w:sz w:val="20"/>
          <w:szCs w:val="20"/>
        </w:rPr>
        <w:t>doi:10.1002/2013JB010492.</w:t>
      </w:r>
    </w:p>
    <w:sectPr w:rsidR="00AF2F0D" w:rsidRPr="009C364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B8C" w:rsidRDefault="00087B8C" w:rsidP="00C37DB5">
      <w:r>
        <w:separator/>
      </w:r>
    </w:p>
  </w:endnote>
  <w:endnote w:type="continuationSeparator" w:id="0">
    <w:p w:rsidR="00087B8C" w:rsidRDefault="00087B8C" w:rsidP="00C3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dvTT46dcae8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B8C" w:rsidRDefault="00087B8C" w:rsidP="00C37DB5">
      <w:r>
        <w:separator/>
      </w:r>
    </w:p>
  </w:footnote>
  <w:footnote w:type="continuationSeparator" w:id="0">
    <w:p w:rsidR="00087B8C" w:rsidRDefault="00087B8C" w:rsidP="00C37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44"/>
    <w:rsid w:val="00087B8C"/>
    <w:rsid w:val="002D4EC0"/>
    <w:rsid w:val="005052F9"/>
    <w:rsid w:val="005A1BC2"/>
    <w:rsid w:val="005D62A5"/>
    <w:rsid w:val="0065621B"/>
    <w:rsid w:val="007D25F2"/>
    <w:rsid w:val="00856C97"/>
    <w:rsid w:val="009C364E"/>
    <w:rsid w:val="00AF2F0D"/>
    <w:rsid w:val="00BB0BBB"/>
    <w:rsid w:val="00C37DB5"/>
    <w:rsid w:val="00E70F40"/>
    <w:rsid w:val="00EC31C3"/>
    <w:rsid w:val="00F20644"/>
    <w:rsid w:val="00F61D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22CE74-4E10-4818-822B-4037ABD2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DB5"/>
    <w:pPr>
      <w:tabs>
        <w:tab w:val="center" w:pos="4153"/>
        <w:tab w:val="right" w:pos="8306"/>
      </w:tabs>
      <w:snapToGrid w:val="0"/>
    </w:pPr>
    <w:rPr>
      <w:sz w:val="20"/>
      <w:szCs w:val="20"/>
    </w:rPr>
  </w:style>
  <w:style w:type="character" w:customStyle="1" w:styleId="a4">
    <w:name w:val="頁首 字元"/>
    <w:basedOn w:val="a0"/>
    <w:link w:val="a3"/>
    <w:uiPriority w:val="99"/>
    <w:rsid w:val="00C37DB5"/>
    <w:rPr>
      <w:sz w:val="20"/>
      <w:szCs w:val="20"/>
    </w:rPr>
  </w:style>
  <w:style w:type="paragraph" w:styleId="a5">
    <w:name w:val="footer"/>
    <w:basedOn w:val="a"/>
    <w:link w:val="a6"/>
    <w:uiPriority w:val="99"/>
    <w:unhideWhenUsed/>
    <w:rsid w:val="00C37DB5"/>
    <w:pPr>
      <w:tabs>
        <w:tab w:val="center" w:pos="4153"/>
        <w:tab w:val="right" w:pos="8306"/>
      </w:tabs>
      <w:snapToGrid w:val="0"/>
    </w:pPr>
    <w:rPr>
      <w:sz w:val="20"/>
      <w:szCs w:val="20"/>
    </w:rPr>
  </w:style>
  <w:style w:type="character" w:customStyle="1" w:styleId="a6">
    <w:name w:val="頁尾 字元"/>
    <w:basedOn w:val="a0"/>
    <w:link w:val="a5"/>
    <w:uiPriority w:val="99"/>
    <w:rsid w:val="00C37D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2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1</Pages>
  <Words>238</Words>
  <Characters>1357</Characters>
  <Application>Microsoft Office Word</Application>
  <DocSecurity>0</DocSecurity>
  <Lines>11</Lines>
  <Paragraphs>3</Paragraphs>
  <ScaleCrop>false</ScaleCrop>
  <Company>Toshiba</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宋家宇</dc:creator>
  <cp:keywords/>
  <dc:description/>
  <cp:lastModifiedBy>宋家宇</cp:lastModifiedBy>
  <cp:revision>6</cp:revision>
  <dcterms:created xsi:type="dcterms:W3CDTF">2014-12-22T02:08:00Z</dcterms:created>
  <dcterms:modified xsi:type="dcterms:W3CDTF">2014-12-24T10:05:00Z</dcterms:modified>
</cp:coreProperties>
</file>